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3363" w14:textId="77777777" w:rsidR="00126B46" w:rsidRDefault="00874301" w:rsidP="00126B46">
      <w:pPr>
        <w:outlineLvl w:val="0"/>
      </w:pPr>
      <w:r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  <w:r w:rsidR="00126B46">
        <w:tab/>
      </w:r>
    </w:p>
    <w:p w14:paraId="42C9956F" w14:textId="51BC6E81" w:rsidR="00874301" w:rsidRPr="00126B46" w:rsidRDefault="00874301" w:rsidP="00126B46">
      <w:pPr>
        <w:ind w:left="5040" w:firstLine="720"/>
        <w:outlineLvl w:val="0"/>
      </w:pPr>
      <w:r>
        <w:rPr>
          <w:b/>
          <w:sz w:val="32"/>
          <w:szCs w:val="28"/>
        </w:rPr>
        <w:t>Tender Form (Financial Bid)</w:t>
      </w:r>
    </w:p>
    <w:p w14:paraId="45668FB0" w14:textId="0CDF4F09" w:rsidR="00874301" w:rsidRPr="00EF27DC" w:rsidRDefault="00874301" w:rsidP="00874301">
      <w:pPr>
        <w:outlineLvl w:val="0"/>
        <w:rPr>
          <w:bCs/>
          <w:sz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Cs/>
          <w:sz w:val="28"/>
        </w:rPr>
        <w:t>To</w:t>
      </w:r>
    </w:p>
    <w:p w14:paraId="0AA31A0C" w14:textId="01522FD7" w:rsidR="00874301" w:rsidRPr="00874301" w:rsidRDefault="0046657B" w:rsidP="00874301">
      <w:pPr>
        <w:pStyle w:val="ListBullet"/>
        <w:tabs>
          <w:tab w:val="clear" w:pos="360"/>
          <w:tab w:val="left" w:pos="72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74301" w:rsidRPr="00874301">
        <w:rPr>
          <w:rFonts w:ascii="Times New Roman" w:hAnsi="Times New Roman" w:cs="Times New Roman"/>
          <w:sz w:val="28"/>
          <w:szCs w:val="24"/>
        </w:rPr>
        <w:t>Member Secy., IMC for ITI Solan</w:t>
      </w:r>
    </w:p>
    <w:p w14:paraId="2E2B004C" w14:textId="49853ECE" w:rsidR="00874301" w:rsidRPr="00874301" w:rsidRDefault="00874301" w:rsidP="00874301">
      <w:pPr>
        <w:pStyle w:val="ListBullet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874301">
        <w:rPr>
          <w:rFonts w:ascii="Times New Roman" w:hAnsi="Times New Roman" w:cs="Times New Roman"/>
          <w:sz w:val="28"/>
          <w:szCs w:val="24"/>
        </w:rPr>
        <w:t xml:space="preserve">   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874301">
        <w:rPr>
          <w:rFonts w:ascii="Times New Roman" w:hAnsi="Times New Roman" w:cs="Times New Roman"/>
          <w:sz w:val="28"/>
          <w:szCs w:val="24"/>
        </w:rPr>
        <w:t>cum</w:t>
      </w:r>
      <w:proofErr w:type="gramEnd"/>
      <w:r w:rsidRPr="00874301">
        <w:rPr>
          <w:rFonts w:ascii="Times New Roman" w:hAnsi="Times New Roman" w:cs="Times New Roman"/>
          <w:sz w:val="28"/>
          <w:szCs w:val="24"/>
        </w:rPr>
        <w:t xml:space="preserve"> Principal, Govt. ITI Solan</w:t>
      </w:r>
    </w:p>
    <w:p w14:paraId="42B73774" w14:textId="105C21D6" w:rsidR="00874301" w:rsidRPr="00874301" w:rsidRDefault="00874301" w:rsidP="00874301">
      <w:pPr>
        <w:pStyle w:val="ListBullet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4301">
        <w:rPr>
          <w:rFonts w:ascii="Times New Roman" w:hAnsi="Times New Roman" w:cs="Times New Roman"/>
          <w:sz w:val="28"/>
          <w:szCs w:val="24"/>
        </w:rPr>
        <w:t xml:space="preserve">    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</w:r>
      <w:r w:rsidRPr="00874301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74301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874301">
        <w:rPr>
          <w:rFonts w:ascii="Times New Roman" w:hAnsi="Times New Roman" w:cs="Times New Roman"/>
          <w:sz w:val="28"/>
          <w:szCs w:val="24"/>
        </w:rPr>
        <w:t>Distt</w:t>
      </w:r>
      <w:proofErr w:type="spellEnd"/>
      <w:r w:rsidRPr="00874301">
        <w:rPr>
          <w:rFonts w:ascii="Times New Roman" w:hAnsi="Times New Roman" w:cs="Times New Roman"/>
          <w:sz w:val="28"/>
          <w:szCs w:val="24"/>
        </w:rPr>
        <w:t>. Solan HP-173212</w:t>
      </w:r>
      <w:r w:rsidR="00572A9A">
        <w:rPr>
          <w:rFonts w:ascii="Times New Roman" w:hAnsi="Times New Roman" w:cs="Times New Roman"/>
          <w:sz w:val="28"/>
          <w:szCs w:val="24"/>
        </w:rPr>
        <w:t>.</w:t>
      </w:r>
    </w:p>
    <w:p w14:paraId="21DD9BEA" w14:textId="62FCF874" w:rsidR="00874301" w:rsidRPr="00F055BE" w:rsidRDefault="00874301" w:rsidP="00F055BE">
      <w:pPr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E4E0C">
        <w:rPr>
          <w:rFonts w:ascii="Arial" w:hAnsi="Arial" w:cs="Arial"/>
          <w:b/>
          <w:bCs/>
          <w:sz w:val="28"/>
          <w:szCs w:val="28"/>
        </w:rPr>
        <w:t xml:space="preserve">Sub: -   </w:t>
      </w:r>
      <w:r w:rsidR="00CE12A5" w:rsidRPr="00CE12A5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Internal Estimate for White </w:t>
      </w:r>
      <w:r w:rsidR="00CE12A5" w:rsidRPr="00CE12A5">
        <w:rPr>
          <w:rFonts w:ascii="Arial" w:eastAsia="Times New Roman" w:hAnsi="Arial" w:cs="Arial"/>
          <w:b/>
          <w:sz w:val="24"/>
          <w:szCs w:val="24"/>
          <w:lang w:val="en-US"/>
        </w:rPr>
        <w:t>Washing</w:t>
      </w:r>
      <w:r w:rsidR="00697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CE12A5" w:rsidRPr="00CE12A5">
        <w:rPr>
          <w:rFonts w:ascii="Arial" w:eastAsia="Times New Roman" w:hAnsi="Arial" w:cs="Arial"/>
          <w:b/>
          <w:sz w:val="24"/>
          <w:szCs w:val="24"/>
          <w:lang w:val="en-US"/>
        </w:rPr>
        <w:t>&amp; Painting of</w:t>
      </w:r>
      <w:r w:rsidR="00F055BE">
        <w:rPr>
          <w:rFonts w:ascii="Arial" w:eastAsia="Times New Roman" w:hAnsi="Arial" w:cs="Arial"/>
          <w:b/>
          <w:sz w:val="24"/>
          <w:szCs w:val="24"/>
          <w:lang w:val="en-US"/>
        </w:rPr>
        <w:t xml:space="preserve"> Electronics Trade </w:t>
      </w:r>
      <w:r w:rsidR="00940D87">
        <w:rPr>
          <w:rFonts w:ascii="Arial" w:eastAsia="Times New Roman" w:hAnsi="Arial" w:cs="Arial"/>
          <w:b/>
          <w:sz w:val="24"/>
          <w:szCs w:val="24"/>
          <w:lang w:val="en-US"/>
        </w:rPr>
        <w:t>(Block-B) At Govt. ITI Solan (HP)</w:t>
      </w:r>
      <w:r w:rsidR="004C2D74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     </w:t>
      </w:r>
    </w:p>
    <w:tbl>
      <w:tblPr>
        <w:tblpPr w:leftFromText="180" w:rightFromText="180" w:vertAnchor="text" w:horzAnchor="page" w:tblpX="850" w:tblpY="151"/>
        <w:tblOverlap w:val="never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276"/>
        <w:gridCol w:w="5783"/>
        <w:gridCol w:w="709"/>
        <w:gridCol w:w="992"/>
        <w:gridCol w:w="1305"/>
        <w:gridCol w:w="1417"/>
        <w:gridCol w:w="1559"/>
      </w:tblGrid>
      <w:tr w:rsidR="00937660" w:rsidRPr="00A04F09" w14:paraId="095563F5" w14:textId="77777777" w:rsidTr="008D50BE">
        <w:trPr>
          <w:trHeight w:val="416"/>
        </w:trPr>
        <w:tc>
          <w:tcPr>
            <w:tcW w:w="2976" w:type="dxa"/>
            <w:gridSpan w:val="3"/>
          </w:tcPr>
          <w:p w14:paraId="4DB336A0" w14:textId="0B0C9176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Name of Bidder</w:t>
            </w:r>
          </w:p>
        </w:tc>
        <w:tc>
          <w:tcPr>
            <w:tcW w:w="11765" w:type="dxa"/>
            <w:gridSpan w:val="6"/>
            <w:shd w:val="clear" w:color="auto" w:fill="auto"/>
            <w:vAlign w:val="center"/>
            <w:hideMark/>
          </w:tcPr>
          <w:p w14:paraId="6F437110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A04F09" w14:paraId="08A175B5" w14:textId="77777777" w:rsidTr="00DC74C6">
        <w:trPr>
          <w:trHeight w:val="496"/>
        </w:trPr>
        <w:tc>
          <w:tcPr>
            <w:tcW w:w="2976" w:type="dxa"/>
            <w:gridSpan w:val="3"/>
          </w:tcPr>
          <w:p w14:paraId="2BE86C45" w14:textId="191F05B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hAnsi="Times New Roman" w:cs="Times New Roman"/>
                <w:b/>
                <w:w w:val="95"/>
                <w:sz w:val="20"/>
                <w:szCs w:val="18"/>
              </w:rPr>
              <w:t>Address of the Bidder</w:t>
            </w:r>
          </w:p>
        </w:tc>
        <w:tc>
          <w:tcPr>
            <w:tcW w:w="11765" w:type="dxa"/>
            <w:gridSpan w:val="6"/>
            <w:shd w:val="clear" w:color="auto" w:fill="auto"/>
            <w:vAlign w:val="center"/>
            <w:hideMark/>
          </w:tcPr>
          <w:p w14:paraId="0E8E6ABC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A04F09" w14:paraId="4E65182B" w14:textId="77777777" w:rsidTr="00A46645">
        <w:trPr>
          <w:trHeight w:val="692"/>
        </w:trPr>
        <w:tc>
          <w:tcPr>
            <w:tcW w:w="1700" w:type="dxa"/>
            <w:gridSpan w:val="2"/>
            <w:vAlign w:val="center"/>
          </w:tcPr>
          <w:p w14:paraId="352D5834" w14:textId="4967AD4B" w:rsidR="00937660" w:rsidRPr="00A92526" w:rsidRDefault="00937660" w:rsidP="00A46645">
            <w:pPr>
              <w:suppressAutoHyphens w:val="0"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Sr. No/code</w:t>
            </w:r>
          </w:p>
        </w:tc>
        <w:tc>
          <w:tcPr>
            <w:tcW w:w="7059" w:type="dxa"/>
            <w:gridSpan w:val="2"/>
            <w:shd w:val="clear" w:color="auto" w:fill="auto"/>
            <w:noWrap/>
            <w:vAlign w:val="center"/>
            <w:hideMark/>
          </w:tcPr>
          <w:p w14:paraId="279D8641" w14:textId="77777777" w:rsidR="00937660" w:rsidRPr="00A92526" w:rsidRDefault="00937660" w:rsidP="00572A9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Particulars of Items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42A67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Unit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B9380" w14:textId="77777777" w:rsidR="00937660" w:rsidRPr="00A92526" w:rsidRDefault="00937660" w:rsidP="0093766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Qty. Req.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br/>
              <w:t>in Units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5366666C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41DAB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Rate Per Unit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.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In Words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  <w:tc>
          <w:tcPr>
            <w:tcW w:w="1559" w:type="dxa"/>
          </w:tcPr>
          <w:p w14:paraId="73A2FA31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Amount in </w:t>
            </w:r>
            <w:proofErr w:type="spellStart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Rs</w:t>
            </w:r>
            <w:proofErr w:type="spellEnd"/>
            <w:r w:rsidRPr="00A9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val="en-US"/>
              </w:rPr>
              <w:t xml:space="preserve">. In Figures </w:t>
            </w:r>
            <w:r w:rsidRPr="00A925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en-US"/>
              </w:rPr>
              <w:t>(Excluding GST)</w:t>
            </w:r>
          </w:p>
        </w:tc>
      </w:tr>
      <w:tr w:rsidR="00937660" w:rsidRPr="00A04F09" w14:paraId="7BBEB092" w14:textId="77777777" w:rsidTr="001C777F">
        <w:trPr>
          <w:trHeight w:val="524"/>
        </w:trPr>
        <w:tc>
          <w:tcPr>
            <w:tcW w:w="850" w:type="dxa"/>
            <w:vAlign w:val="center"/>
          </w:tcPr>
          <w:p w14:paraId="18BFA231" w14:textId="7AFF77D8" w:rsidR="00937660" w:rsidRPr="00937660" w:rsidRDefault="00937660" w:rsidP="001C7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937660">
              <w:rPr>
                <w:rFonts w:ascii="Times New Roman" w:hAnsi="Times New Roman" w:cs="Times New Roman"/>
                <w:sz w:val="20"/>
                <w:szCs w:val="18"/>
              </w:rPr>
              <w:t>Sr.No</w:t>
            </w:r>
            <w:proofErr w:type="spellEnd"/>
            <w:r w:rsidRPr="0093766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5D18E4" w14:textId="6EBD08EB" w:rsidR="00937660" w:rsidRPr="00A92526" w:rsidRDefault="00937660" w:rsidP="00937660">
            <w:pPr>
              <w:pStyle w:val="ListParagraph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Item code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990B28D" w14:textId="77777777" w:rsidR="00937660" w:rsidRPr="00A92526" w:rsidRDefault="00937660" w:rsidP="00937660">
            <w:pPr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1EAF40" w14:textId="77777777" w:rsidR="00937660" w:rsidRPr="00A92526" w:rsidRDefault="00937660" w:rsidP="00937660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3616E6" w14:textId="77777777" w:rsidR="00937660" w:rsidRPr="00A92526" w:rsidRDefault="00937660" w:rsidP="00937660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11937B7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B503A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8C1BEBA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1131A0B1" w14:textId="77777777" w:rsidTr="000D33E9">
        <w:trPr>
          <w:trHeight w:val="620"/>
        </w:trPr>
        <w:tc>
          <w:tcPr>
            <w:tcW w:w="850" w:type="dxa"/>
            <w:vAlign w:val="center"/>
          </w:tcPr>
          <w:p w14:paraId="3436ADC4" w14:textId="0EFFE576" w:rsidR="00937660" w:rsidRDefault="001C777F" w:rsidP="001C77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5D88CA6C" w14:textId="0ABDF397" w:rsidR="00937660" w:rsidRPr="00A92526" w:rsidRDefault="00937660" w:rsidP="000D33E9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13.88</w:t>
            </w:r>
          </w:p>
        </w:tc>
        <w:tc>
          <w:tcPr>
            <w:tcW w:w="7059" w:type="dxa"/>
            <w:gridSpan w:val="2"/>
          </w:tcPr>
          <w:p w14:paraId="63CA74F6" w14:textId="40117A50" w:rsidR="00937660" w:rsidRPr="00E80567" w:rsidRDefault="00937660" w:rsidP="00937660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 w:rsidRPr="00444623">
              <w:rPr>
                <w:sz w:val="20"/>
                <w:szCs w:val="20"/>
              </w:rPr>
              <w:t xml:space="preserve">Removing white or colour wash by scrapping and sand papering and preparing the surface smooth including necessary repairs to scratches etc. complete </w:t>
            </w:r>
            <w:r>
              <w:rPr>
                <w:sz w:val="20"/>
                <w:szCs w:val="20"/>
              </w:rPr>
              <w:t xml:space="preserve">Walls.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B3F5C" w14:textId="7B4FA7B4" w:rsidR="00937660" w:rsidRPr="00F313E6" w:rsidRDefault="00937660" w:rsidP="0093766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796AEB" w14:textId="09604B7A" w:rsidR="00937660" w:rsidRPr="00321D76" w:rsidRDefault="00937660" w:rsidP="009376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bCs/>
                <w:sz w:val="20"/>
                <w:szCs w:val="20"/>
              </w:rPr>
              <w:t>314.10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507893E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9017E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92AFCD0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659A3D38" w14:textId="77777777" w:rsidTr="000D33E9">
        <w:trPr>
          <w:trHeight w:val="70"/>
        </w:trPr>
        <w:tc>
          <w:tcPr>
            <w:tcW w:w="850" w:type="dxa"/>
            <w:vAlign w:val="center"/>
          </w:tcPr>
          <w:p w14:paraId="2A7704B8" w14:textId="0A12A122" w:rsidR="00937660" w:rsidRDefault="001C777F" w:rsidP="001C77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37EE53B5" w14:textId="30B4FDBD" w:rsidR="00937660" w:rsidRPr="00A92526" w:rsidRDefault="00937660" w:rsidP="000D33E9">
            <w:pPr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</w:t>
            </w:r>
          </w:p>
        </w:tc>
        <w:tc>
          <w:tcPr>
            <w:tcW w:w="7059" w:type="dxa"/>
            <w:gridSpan w:val="2"/>
          </w:tcPr>
          <w:p w14:paraId="5CB5C3BF" w14:textId="08F137E0" w:rsidR="00937660" w:rsidRDefault="00937660" w:rsidP="0093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Repairs to plaster of thickness 12mm to 20mm in patches of area 2.5 sq.</w:t>
            </w:r>
            <w:r w:rsidR="00047E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mtrs</w:t>
            </w:r>
            <w:proofErr w:type="spellEnd"/>
            <w:r>
              <w:rPr>
                <w:sz w:val="20"/>
                <w:szCs w:val="20"/>
              </w:rPr>
              <w:t xml:space="preserve"> and under including cutting the patch in proper shape, raking out joints and preparing and plastering the surface of the walls complete, including disposal of rubbish to the dumping </w:t>
            </w:r>
            <w:proofErr w:type="gramStart"/>
            <w:r>
              <w:rPr>
                <w:sz w:val="20"/>
                <w:szCs w:val="20"/>
              </w:rPr>
              <w:t>ground ,</w:t>
            </w:r>
            <w:proofErr w:type="gramEnd"/>
            <w:r>
              <w:rPr>
                <w:sz w:val="20"/>
                <w:szCs w:val="20"/>
              </w:rPr>
              <w:t xml:space="preserve"> all complete as per direction of Engineer – in charge.</w:t>
            </w:r>
          </w:p>
          <w:p w14:paraId="327273FA" w14:textId="44235386" w:rsidR="00937660" w:rsidRPr="00E80567" w:rsidRDefault="00937660" w:rsidP="00937660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14.1.1 with cement mortar 1:4 (1 Cement : 4 Fine Sand)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DA0AF6" w14:textId="6D33D23A" w:rsidR="00937660" w:rsidRPr="00F313E6" w:rsidRDefault="00937660" w:rsidP="0093766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7140D5B" w14:textId="70C04048" w:rsidR="00937660" w:rsidRPr="00321D76" w:rsidRDefault="00937660" w:rsidP="009376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bCs/>
                <w:sz w:val="20"/>
                <w:szCs w:val="20"/>
              </w:rPr>
              <w:t>219.43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7514F13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535EC6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A67A7B9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7159ACE1" w14:textId="77777777" w:rsidTr="000D33E9">
        <w:trPr>
          <w:trHeight w:val="1124"/>
        </w:trPr>
        <w:tc>
          <w:tcPr>
            <w:tcW w:w="850" w:type="dxa"/>
            <w:vAlign w:val="center"/>
          </w:tcPr>
          <w:p w14:paraId="251746DE" w14:textId="07BC50D9" w:rsidR="00937660" w:rsidRDefault="001C777F" w:rsidP="001C777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692B8574" w14:textId="32FCBE24" w:rsidR="00937660" w:rsidRPr="00A92526" w:rsidRDefault="00937660" w:rsidP="000D33E9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13.26</w:t>
            </w:r>
          </w:p>
        </w:tc>
        <w:tc>
          <w:tcPr>
            <w:tcW w:w="7059" w:type="dxa"/>
            <w:gridSpan w:val="2"/>
          </w:tcPr>
          <w:p w14:paraId="59298F9A" w14:textId="77777777" w:rsidR="00937660" w:rsidRDefault="00937660" w:rsidP="0093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and applying plaster of parts putty of 2mm thickness over plastered surface to prepare the surface even and smooth.</w:t>
            </w:r>
          </w:p>
          <w:p w14:paraId="62465F9A" w14:textId="2A76E5A8" w:rsidR="00937660" w:rsidRPr="00E80567" w:rsidRDefault="00937660" w:rsidP="00937660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t>Putty only Required Surfaces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B5625" w14:textId="1A6EEC9D" w:rsidR="00937660" w:rsidRPr="00F313E6" w:rsidRDefault="00937660" w:rsidP="00937660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1108A3E" w14:textId="5C8053B9" w:rsidR="00937660" w:rsidRPr="00321D76" w:rsidRDefault="00937660" w:rsidP="009376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bCs/>
                <w:sz w:val="20"/>
                <w:szCs w:val="20"/>
              </w:rPr>
              <w:t>219.43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2940A44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5AD72E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BFDC41F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70C9CCD6" w14:textId="77777777" w:rsidTr="000D33E9">
        <w:trPr>
          <w:trHeight w:val="62"/>
        </w:trPr>
        <w:tc>
          <w:tcPr>
            <w:tcW w:w="850" w:type="dxa"/>
            <w:vAlign w:val="center"/>
          </w:tcPr>
          <w:p w14:paraId="5876E98B" w14:textId="5E7650D9" w:rsidR="00937660" w:rsidRDefault="001C777F" w:rsidP="001C777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184A28DB" w14:textId="090679AF" w:rsidR="00937660" w:rsidRPr="00A92526" w:rsidRDefault="00937660" w:rsidP="000D33E9">
            <w:pPr>
              <w:spacing w:after="0"/>
              <w:jc w:val="center"/>
              <w:rPr>
                <w:rFonts w:ascii="Comic Sans MS" w:hAnsi="Comic Sans MS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13.90</w:t>
            </w:r>
          </w:p>
        </w:tc>
        <w:tc>
          <w:tcPr>
            <w:tcW w:w="7059" w:type="dxa"/>
            <w:gridSpan w:val="2"/>
          </w:tcPr>
          <w:p w14:paraId="13F75296" w14:textId="77777777" w:rsidR="00937660" w:rsidRDefault="00937660" w:rsidP="0093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Distempering with 1</w:t>
            </w:r>
            <w:r w:rsidRPr="002A452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quality acrylic distemper (ready mix ) having VOC content less than 50 grams/ litre of approved brand and manufacture to give an even shade : </w:t>
            </w:r>
          </w:p>
          <w:p w14:paraId="658CEA26" w14:textId="5C131455" w:rsidR="00937660" w:rsidRPr="00E80567" w:rsidRDefault="00937660" w:rsidP="00937660">
            <w:pPr>
              <w:spacing w:after="0"/>
              <w:jc w:val="both"/>
              <w:rPr>
                <w:rFonts w:ascii="Comic Sans MS" w:hAnsi="Comic Sans MS" w:cs="Times New Roman"/>
                <w:color w:val="000000"/>
              </w:rPr>
            </w:pPr>
            <w:r>
              <w:rPr>
                <w:sz w:val="20"/>
                <w:szCs w:val="20"/>
              </w:rPr>
              <w:lastRenderedPageBreak/>
              <w:t xml:space="preserve">13.90.1  old work (one or more coats 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C43ACA" w14:textId="4697E396" w:rsidR="00937660" w:rsidRPr="00F313E6" w:rsidRDefault="00937660" w:rsidP="00937660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lastRenderedPageBreak/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47AB73D" w14:textId="4D9DEFC4" w:rsidR="00937660" w:rsidRPr="00321D76" w:rsidRDefault="00937660" w:rsidP="0093766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bCs/>
                <w:sz w:val="20"/>
                <w:szCs w:val="20"/>
              </w:rPr>
              <w:t>274.29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2D44572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791FA6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5BFF93F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18AD27EC" w14:textId="77777777" w:rsidTr="000D33E9">
        <w:trPr>
          <w:trHeight w:val="1056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C43FF27" w14:textId="62FFE834" w:rsidR="00937660" w:rsidRDefault="001C777F" w:rsidP="001C77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44960C8" w14:textId="64EA5176" w:rsidR="00937660" w:rsidRDefault="00937660" w:rsidP="000D33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C41D9D" w14:textId="0E04511F" w:rsidR="00937660" w:rsidRPr="00EF27DC" w:rsidRDefault="00937660" w:rsidP="000D33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14:paraId="1BA74F04" w14:textId="25A01277" w:rsidR="00937660" w:rsidRPr="00E80567" w:rsidRDefault="00937660" w:rsidP="009376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D43">
              <w:rPr>
                <w:sz w:val="20"/>
                <w:szCs w:val="20"/>
              </w:rPr>
              <w:t>13.48.2: Painting wood work with d</w:t>
            </w:r>
            <w:r w:rsidR="00047E67">
              <w:rPr>
                <w:sz w:val="20"/>
                <w:szCs w:val="20"/>
              </w:rPr>
              <w:t>eluxe multi surface paint of req</w:t>
            </w:r>
            <w:r w:rsidRPr="00FA2D43">
              <w:rPr>
                <w:sz w:val="20"/>
                <w:szCs w:val="20"/>
              </w:rPr>
              <w:t xml:space="preserve">uired shade.: Two or more coats applied @ of 0.90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 xml:space="preserve">/10 </w:t>
            </w:r>
            <w:proofErr w:type="spellStart"/>
            <w:r w:rsidRPr="00FA2D43">
              <w:rPr>
                <w:sz w:val="20"/>
                <w:szCs w:val="20"/>
              </w:rPr>
              <w:t>sqm</w:t>
            </w:r>
            <w:proofErr w:type="spellEnd"/>
            <w:r w:rsidRPr="00FA2D43">
              <w:rPr>
                <w:sz w:val="20"/>
                <w:szCs w:val="20"/>
              </w:rPr>
              <w:t xml:space="preserve"> over and under  coat of primer applied @ 0.75 </w:t>
            </w:r>
            <w:proofErr w:type="spellStart"/>
            <w:r w:rsidRPr="00FA2D43">
              <w:rPr>
                <w:sz w:val="20"/>
                <w:szCs w:val="20"/>
              </w:rPr>
              <w:t>ltr</w:t>
            </w:r>
            <w:proofErr w:type="spellEnd"/>
            <w:r w:rsidRPr="00FA2D43">
              <w:rPr>
                <w:sz w:val="20"/>
                <w:szCs w:val="20"/>
              </w:rPr>
              <w:t>/10sqm of approved brand and manufacture.</w:t>
            </w:r>
            <w:r>
              <w:rPr>
                <w:sz w:val="20"/>
                <w:szCs w:val="20"/>
              </w:rPr>
              <w:t xml:space="preserve"> Doors Window and Walls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938A33" w14:textId="55B6DAEE" w:rsidR="00937660" w:rsidRPr="00EF27DC" w:rsidRDefault="00937660" w:rsidP="009376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6E9083" w14:textId="542D08F0" w:rsidR="00937660" w:rsidRPr="00321D76" w:rsidRDefault="00937660" w:rsidP="0093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sz w:val="20"/>
                <w:szCs w:val="20"/>
              </w:rPr>
              <w:t>39.81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12AAB4F4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ECB36E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8AC650B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01FD9802" w14:textId="77777777" w:rsidTr="000D33E9">
        <w:trPr>
          <w:trHeight w:val="1681"/>
        </w:trPr>
        <w:tc>
          <w:tcPr>
            <w:tcW w:w="850" w:type="dxa"/>
            <w:vAlign w:val="center"/>
          </w:tcPr>
          <w:p w14:paraId="454A3736" w14:textId="0E7BFF3E" w:rsidR="00937660" w:rsidRDefault="001C777F" w:rsidP="001C77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5F9F17A6" w14:textId="5F2392AB" w:rsidR="00937660" w:rsidRPr="00A92526" w:rsidRDefault="00937660" w:rsidP="000D3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</w:tcPr>
          <w:p w14:paraId="7D4F9105" w14:textId="7F9A3130" w:rsidR="00937660" w:rsidRPr="00086CEA" w:rsidRDefault="00937660" w:rsidP="00937660">
            <w:pPr>
              <w:tabs>
                <w:tab w:val="center" w:pos="1955"/>
              </w:tabs>
            </w:pPr>
            <w:r w:rsidRPr="00086CEA">
              <w:t>Fin</w:t>
            </w:r>
            <w:r w:rsidR="0058381D">
              <w:t>i</w:t>
            </w:r>
            <w:r w:rsidRPr="00086CEA">
              <w:t xml:space="preserve">shing with deluxe multi surface paint system for interiors and exteriors using primer as per manufacturers specifications </w:t>
            </w:r>
          </w:p>
          <w:p w14:paraId="707B7196" w14:textId="77777777" w:rsidR="00937660" w:rsidRDefault="00937660" w:rsidP="00937660">
            <w:pPr>
              <w:jc w:val="both"/>
              <w:rPr>
                <w:rStyle w:val="Strong"/>
              </w:rPr>
            </w:pPr>
            <w:r>
              <w:t xml:space="preserve">13.48.3 Painting Steel work with Deluxe Multi Surface Paint to give an even shade. Two or more coat applied @ 0.90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over an under coat of primer applied @ 0.80 </w:t>
            </w:r>
            <w:proofErr w:type="spellStart"/>
            <w:r>
              <w:t>ltr</w:t>
            </w:r>
            <w:proofErr w:type="spellEnd"/>
            <w:r>
              <w:t xml:space="preserve">/ 10 </w:t>
            </w:r>
            <w:proofErr w:type="spellStart"/>
            <w:r>
              <w:t>sqm</w:t>
            </w:r>
            <w:proofErr w:type="spellEnd"/>
            <w:r>
              <w:t xml:space="preserve"> of approved brand and manufacture</w:t>
            </w:r>
          </w:p>
          <w:p w14:paraId="223A2751" w14:textId="4AC18299" w:rsidR="00937660" w:rsidRPr="00E80567" w:rsidRDefault="00937660" w:rsidP="009376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034C">
              <w:rPr>
                <w:rStyle w:val="Strong"/>
              </w:rPr>
              <w:t>Enamd</w:t>
            </w:r>
            <w:proofErr w:type="spellEnd"/>
            <w:r w:rsidRPr="0073034C">
              <w:rPr>
                <w:rStyle w:val="Strong"/>
              </w:rPr>
              <w:t xml:space="preserve"> on steel paint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AA8D0" w14:textId="62F9B074" w:rsidR="00937660" w:rsidRPr="00F313E6" w:rsidRDefault="00937660" w:rsidP="0093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CDCF04" w14:textId="762A96F3" w:rsidR="00937660" w:rsidRPr="00321D76" w:rsidRDefault="00937660" w:rsidP="00937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sz w:val="20"/>
                <w:szCs w:val="20"/>
              </w:rPr>
              <w:t>25.74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28BBFC4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8B0F2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DB91F96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937660" w:rsidRPr="00773F5F" w14:paraId="45774604" w14:textId="77777777" w:rsidTr="000D33E9">
        <w:trPr>
          <w:trHeight w:val="773"/>
        </w:trPr>
        <w:tc>
          <w:tcPr>
            <w:tcW w:w="850" w:type="dxa"/>
            <w:vAlign w:val="center"/>
          </w:tcPr>
          <w:p w14:paraId="47F5BAF6" w14:textId="45FB93A9" w:rsidR="00937660" w:rsidRDefault="001C777F" w:rsidP="001C777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5319812A" w14:textId="4B34E9AF" w:rsidR="00937660" w:rsidRPr="00A92526" w:rsidRDefault="00937660" w:rsidP="000D3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13.51</w:t>
            </w:r>
          </w:p>
        </w:tc>
        <w:tc>
          <w:tcPr>
            <w:tcW w:w="7059" w:type="dxa"/>
            <w:gridSpan w:val="2"/>
          </w:tcPr>
          <w:p w14:paraId="561340F0" w14:textId="148B6B19" w:rsidR="00937660" w:rsidRDefault="00937660" w:rsidP="00937660">
            <w:pPr>
              <w:tabs>
                <w:tab w:val="center" w:pos="1955"/>
              </w:tabs>
            </w:pPr>
            <w:proofErr w:type="gramStart"/>
            <w:r>
              <w:t xml:space="preserve">Painting </w:t>
            </w:r>
            <w:r w:rsidR="00EB5B7B">
              <w:t xml:space="preserve"> </w:t>
            </w:r>
            <w:r>
              <w:t>with</w:t>
            </w:r>
            <w:proofErr w:type="gramEnd"/>
            <w:r>
              <w:t xml:space="preserve"> silicon</w:t>
            </w:r>
            <w:r w:rsidR="00EB5B7B">
              <w:t xml:space="preserve"> &amp; acrylic emulsion based water </w:t>
            </w:r>
            <w:proofErr w:type="spellStart"/>
            <w:r>
              <w:t>thinable</w:t>
            </w:r>
            <w:proofErr w:type="spellEnd"/>
            <w:r>
              <w:t xml:space="preserve"> sealer of approved brand and manufacture on wet patchy portion of plastered surface.</w:t>
            </w:r>
          </w:p>
          <w:p w14:paraId="2A010457" w14:textId="674836DF" w:rsidR="00937660" w:rsidRPr="00E80567" w:rsidRDefault="00937660" w:rsidP="009376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13.51.2  Two Coate</w:t>
            </w:r>
            <w:r w:rsidR="00F36495">
              <w:t>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6E3912" w14:textId="05EEB10D" w:rsidR="00937660" w:rsidRPr="00F313E6" w:rsidRDefault="00937660" w:rsidP="0093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BC9670" w14:textId="5E5BE1B4" w:rsidR="00937660" w:rsidRPr="00321D76" w:rsidRDefault="00937660" w:rsidP="00937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D76">
              <w:rPr>
                <w:rFonts w:ascii="Times New Roman" w:hAnsi="Times New Roman" w:cs="Times New Roman"/>
                <w:sz w:val="20"/>
                <w:szCs w:val="20"/>
              </w:rPr>
              <w:t>30.82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1EE41A89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DAB710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4ADAA9D" w14:textId="77777777" w:rsidR="00937660" w:rsidRPr="00A92526" w:rsidRDefault="00937660" w:rsidP="009376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452CB23C" w14:textId="77777777" w:rsidR="00874301" w:rsidRPr="00773F5F" w:rsidRDefault="00874301" w:rsidP="00874301"/>
    <w:p w14:paraId="5EBE9172" w14:textId="77777777" w:rsidR="00874301" w:rsidRPr="00773F5F" w:rsidRDefault="00874301" w:rsidP="00874301"/>
    <w:p w14:paraId="4FDEA099" w14:textId="77777777" w:rsidR="00874301" w:rsidRDefault="00874301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715771EC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47CAD7AF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6ACE5B56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2ADE68E8" w14:textId="77777777" w:rsidR="00E8289F" w:rsidRDefault="00E8289F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7E778E8E" w14:textId="77777777" w:rsidR="005E23EC" w:rsidRDefault="005E23EC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78C47E50" w14:textId="77777777" w:rsidR="008A2DCB" w:rsidRDefault="008A2DCB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0F5EC9EF" w14:textId="77777777" w:rsidR="008A2DCB" w:rsidRDefault="008A2DCB" w:rsidP="0087430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3A6C3691" w14:textId="77777777" w:rsidR="00874301" w:rsidRDefault="00874301" w:rsidP="0087430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0F0EE3BF" w14:textId="7D9F0557" w:rsidR="0004649F" w:rsidRPr="00E97D77" w:rsidRDefault="00874301" w:rsidP="00E97D77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  <w:r w:rsidR="00731A07">
        <w:rPr>
          <w:rFonts w:ascii="Times New Roman" w:hAnsi="Times New Roman" w:cs="Times New Roman"/>
          <w:sz w:val="28"/>
          <w:szCs w:val="24"/>
        </w:rPr>
        <w:tab/>
      </w:r>
    </w:p>
    <w:p w14:paraId="4943C37E" w14:textId="77777777" w:rsidR="0004649F" w:rsidRPr="00890143" w:rsidRDefault="0004649F" w:rsidP="0004649F">
      <w:pPr>
        <w:pStyle w:val="Default"/>
        <w:ind w:firstLine="720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Cs w:val="20"/>
        </w:rPr>
        <w:t>GST as applicable will be paid extra.</w:t>
      </w:r>
    </w:p>
    <w:p w14:paraId="47AF9FF3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37980BB0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5F0533AE" w14:textId="77777777" w:rsidR="0004649F" w:rsidRPr="005E023E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 xml:space="preserve">Signature of Bidder with </w:t>
      </w:r>
    </w:p>
    <w:p w14:paraId="659C84C2" w14:textId="77777777" w:rsidR="0004649F" w:rsidRDefault="0004649F" w:rsidP="0004649F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>Date &amp; Seal</w:t>
      </w:r>
    </w:p>
    <w:p w14:paraId="40880AE5" w14:textId="77777777" w:rsidR="0004649F" w:rsidRDefault="0004649F" w:rsidP="008C17D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05E634A5" w14:textId="77777777" w:rsidR="008C17D1" w:rsidRPr="004562AE" w:rsidRDefault="008C17D1" w:rsidP="004562AE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sectPr w:rsidR="008C17D1" w:rsidRPr="004562AE" w:rsidSect="005D0733">
      <w:pgSz w:w="16838" w:h="11906" w:orient="landscape"/>
      <w:pgMar w:top="0" w:right="142" w:bottom="144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2D"/>
    <w:rsid w:val="0002453D"/>
    <w:rsid w:val="0004649F"/>
    <w:rsid w:val="00047E67"/>
    <w:rsid w:val="00056C88"/>
    <w:rsid w:val="00064314"/>
    <w:rsid w:val="00091564"/>
    <w:rsid w:val="000D1B1F"/>
    <w:rsid w:val="000D33E9"/>
    <w:rsid w:val="000D5DE9"/>
    <w:rsid w:val="000D6A55"/>
    <w:rsid w:val="000E0B62"/>
    <w:rsid w:val="00126B46"/>
    <w:rsid w:val="00136DBE"/>
    <w:rsid w:val="00160DFB"/>
    <w:rsid w:val="001633F5"/>
    <w:rsid w:val="001A2CB6"/>
    <w:rsid w:val="001A2ED5"/>
    <w:rsid w:val="001C777F"/>
    <w:rsid w:val="001F713C"/>
    <w:rsid w:val="002109EF"/>
    <w:rsid w:val="0029323E"/>
    <w:rsid w:val="00297650"/>
    <w:rsid w:val="00321D76"/>
    <w:rsid w:val="00356BF1"/>
    <w:rsid w:val="00382813"/>
    <w:rsid w:val="00384A97"/>
    <w:rsid w:val="00395FE3"/>
    <w:rsid w:val="003D28E0"/>
    <w:rsid w:val="003D7765"/>
    <w:rsid w:val="00410967"/>
    <w:rsid w:val="004213D4"/>
    <w:rsid w:val="004562AE"/>
    <w:rsid w:val="0046657B"/>
    <w:rsid w:val="00476587"/>
    <w:rsid w:val="004C2D74"/>
    <w:rsid w:val="004E285D"/>
    <w:rsid w:val="004E32D3"/>
    <w:rsid w:val="00525B00"/>
    <w:rsid w:val="00536272"/>
    <w:rsid w:val="00542618"/>
    <w:rsid w:val="00546011"/>
    <w:rsid w:val="00572A9A"/>
    <w:rsid w:val="0058381D"/>
    <w:rsid w:val="005C628C"/>
    <w:rsid w:val="005D0733"/>
    <w:rsid w:val="005E023E"/>
    <w:rsid w:val="005E23EC"/>
    <w:rsid w:val="00632232"/>
    <w:rsid w:val="00674D23"/>
    <w:rsid w:val="00691525"/>
    <w:rsid w:val="0069748F"/>
    <w:rsid w:val="006A0D21"/>
    <w:rsid w:val="006B7D2D"/>
    <w:rsid w:val="006E27F1"/>
    <w:rsid w:val="006E2EF0"/>
    <w:rsid w:val="006E56CD"/>
    <w:rsid w:val="006F03F8"/>
    <w:rsid w:val="00700518"/>
    <w:rsid w:val="00731A07"/>
    <w:rsid w:val="00773F5F"/>
    <w:rsid w:val="0079400B"/>
    <w:rsid w:val="007B39C7"/>
    <w:rsid w:val="007C7A80"/>
    <w:rsid w:val="007D2442"/>
    <w:rsid w:val="007E2B1A"/>
    <w:rsid w:val="007F4D4B"/>
    <w:rsid w:val="0082230C"/>
    <w:rsid w:val="00874301"/>
    <w:rsid w:val="00890143"/>
    <w:rsid w:val="008A2DCB"/>
    <w:rsid w:val="008A4FC8"/>
    <w:rsid w:val="008A6C6B"/>
    <w:rsid w:val="008C17D1"/>
    <w:rsid w:val="00937660"/>
    <w:rsid w:val="00940D87"/>
    <w:rsid w:val="00954BCB"/>
    <w:rsid w:val="009C6315"/>
    <w:rsid w:val="009F2378"/>
    <w:rsid w:val="00A079C1"/>
    <w:rsid w:val="00A20618"/>
    <w:rsid w:val="00A46645"/>
    <w:rsid w:val="00A656CE"/>
    <w:rsid w:val="00A92526"/>
    <w:rsid w:val="00AD1385"/>
    <w:rsid w:val="00AE4E0C"/>
    <w:rsid w:val="00AF1C3A"/>
    <w:rsid w:val="00B04EE9"/>
    <w:rsid w:val="00B2390F"/>
    <w:rsid w:val="00B373BA"/>
    <w:rsid w:val="00BA456A"/>
    <w:rsid w:val="00BD3BDD"/>
    <w:rsid w:val="00C711D0"/>
    <w:rsid w:val="00C87DD7"/>
    <w:rsid w:val="00C902B7"/>
    <w:rsid w:val="00CE12A5"/>
    <w:rsid w:val="00CF04B3"/>
    <w:rsid w:val="00D200E5"/>
    <w:rsid w:val="00D276AC"/>
    <w:rsid w:val="00D45B88"/>
    <w:rsid w:val="00DA5EBF"/>
    <w:rsid w:val="00E17E05"/>
    <w:rsid w:val="00E60072"/>
    <w:rsid w:val="00E60D4D"/>
    <w:rsid w:val="00E6383E"/>
    <w:rsid w:val="00E80567"/>
    <w:rsid w:val="00E8289F"/>
    <w:rsid w:val="00E97D77"/>
    <w:rsid w:val="00EA68FF"/>
    <w:rsid w:val="00EB5B7B"/>
    <w:rsid w:val="00ED03DC"/>
    <w:rsid w:val="00EF27DC"/>
    <w:rsid w:val="00F055BE"/>
    <w:rsid w:val="00F1001D"/>
    <w:rsid w:val="00F36495"/>
    <w:rsid w:val="00F5404C"/>
    <w:rsid w:val="00FA04FA"/>
    <w:rsid w:val="00FE193C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5356"/>
  <w15:chartTrackingRefBased/>
  <w15:docId w15:val="{1E822458-775B-44DC-AFCA-B922F32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383E"/>
    <w:pPr>
      <w:suppressAutoHyphens/>
      <w:spacing w:after="200" w:line="276" w:lineRule="auto"/>
    </w:pPr>
    <w:rPr>
      <w:rFonts w:ascii="Calibri" w:eastAsia="SimSun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6383E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D45B88"/>
    <w:pPr>
      <w:ind w:left="720"/>
      <w:contextualSpacing/>
    </w:pPr>
  </w:style>
  <w:style w:type="paragraph" w:customStyle="1" w:styleId="Default">
    <w:name w:val="Default"/>
    <w:rsid w:val="00E17E05"/>
    <w:pPr>
      <w:autoSpaceDE w:val="0"/>
      <w:autoSpaceDN w:val="0"/>
      <w:adjustRightInd w:val="0"/>
      <w:spacing w:after="0" w:line="240" w:lineRule="auto"/>
    </w:pPr>
    <w:rPr>
      <w:rFonts w:ascii="Tw Cen MT" w:eastAsiaTheme="minorEastAsia" w:hAnsi="Tw Cen MT" w:cs="Tw Cen MT"/>
      <w:color w:val="000000"/>
      <w:sz w:val="24"/>
      <w:szCs w:val="24"/>
      <w:lang w:eastAsia="en-IN" w:bidi="ar-SA"/>
    </w:rPr>
  </w:style>
  <w:style w:type="table" w:styleId="TableGrid">
    <w:name w:val="Table Grid"/>
    <w:basedOn w:val="TableNormal"/>
    <w:uiPriority w:val="59"/>
    <w:rsid w:val="00384A97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85"/>
    <w:rPr>
      <w:rFonts w:ascii="Segoe UI" w:eastAsia="SimSun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5D0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Solan 2</dc:creator>
  <cp:keywords/>
  <dc:description/>
  <cp:lastModifiedBy>ITI Solan 2</cp:lastModifiedBy>
  <cp:revision>87</cp:revision>
  <cp:lastPrinted>2023-07-13T11:46:00Z</cp:lastPrinted>
  <dcterms:created xsi:type="dcterms:W3CDTF">2023-06-12T06:12:00Z</dcterms:created>
  <dcterms:modified xsi:type="dcterms:W3CDTF">2023-11-17T10:29:00Z</dcterms:modified>
</cp:coreProperties>
</file>